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371F" w14:textId="56E972B4" w:rsidR="00147CF1" w:rsidRDefault="002A272F" w:rsidP="00147CF1">
      <w:pPr>
        <w:spacing w:before="120" w:after="24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Eksport odrobił starty po pandemii</w:t>
      </w:r>
      <w:r w:rsidR="00147CF1">
        <w:rPr>
          <w:rFonts w:ascii="Century Gothic" w:hAnsi="Century Gothic"/>
          <w:b/>
          <w:sz w:val="24"/>
          <w:szCs w:val="24"/>
        </w:rPr>
        <w:t xml:space="preserve"> i znów bije rekordy</w:t>
      </w:r>
    </w:p>
    <w:p w14:paraId="23796160" w14:textId="6E001BCA" w:rsidR="006320C8" w:rsidRPr="00A75E33" w:rsidRDefault="002A272F" w:rsidP="002C7F29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Odpracowując straty wywołane pandemią polski eksport mocno się rozpędził</w:t>
      </w:r>
      <w:r w:rsidR="00822F1E">
        <w:rPr>
          <w:rFonts w:ascii="Century Gothic" w:hAnsi="Century Gothic" w:cs="Times New Roman"/>
          <w:b/>
          <w:sz w:val="20"/>
          <w:szCs w:val="20"/>
        </w:rPr>
        <w:t>, zwracają uwagę eksperci Akcenty, międzynarodowej instytucji płatniczej</w:t>
      </w:r>
      <w:r>
        <w:rPr>
          <w:rFonts w:ascii="Century Gothic" w:hAnsi="Century Gothic" w:cs="Times New Roman"/>
          <w:b/>
          <w:sz w:val="20"/>
          <w:szCs w:val="20"/>
        </w:rPr>
        <w:t>. W porównaniu do I połowy w</w:t>
      </w:r>
      <w:r w:rsidR="00822F1E">
        <w:rPr>
          <w:rFonts w:ascii="Century Gothic" w:hAnsi="Century Gothic" w:cs="Times New Roman"/>
          <w:b/>
          <w:sz w:val="20"/>
          <w:szCs w:val="20"/>
        </w:rPr>
        <w:t xml:space="preserve"> 2020</w:t>
      </w:r>
      <w:r w:rsidR="00F838D3">
        <w:rPr>
          <w:rFonts w:ascii="Century Gothic" w:hAnsi="Century Gothic" w:cs="Times New Roman"/>
          <w:b/>
          <w:sz w:val="20"/>
          <w:szCs w:val="20"/>
        </w:rPr>
        <w:t xml:space="preserve"> r., gdy obroty handlowe </w:t>
      </w:r>
      <w:r>
        <w:rPr>
          <w:rFonts w:ascii="Century Gothic" w:hAnsi="Century Gothic" w:cs="Times New Roman"/>
          <w:b/>
          <w:sz w:val="20"/>
          <w:szCs w:val="20"/>
        </w:rPr>
        <w:t>spadły</w:t>
      </w:r>
      <w:r w:rsidR="00822F1E">
        <w:rPr>
          <w:rFonts w:ascii="Century Gothic" w:hAnsi="Century Gothic" w:cs="Times New Roman"/>
          <w:b/>
          <w:sz w:val="20"/>
          <w:szCs w:val="20"/>
        </w:rPr>
        <w:t xml:space="preserve"> (o 7 proc.</w:t>
      </w:r>
      <w:r w:rsidR="00F838D3">
        <w:rPr>
          <w:rFonts w:ascii="Century Gothic" w:hAnsi="Century Gothic" w:cs="Times New Roman"/>
          <w:b/>
          <w:sz w:val="20"/>
          <w:szCs w:val="20"/>
        </w:rPr>
        <w:t xml:space="preserve"> r/r</w:t>
      </w:r>
      <w:r w:rsidR="00822F1E">
        <w:rPr>
          <w:rFonts w:ascii="Century Gothic" w:hAnsi="Century Gothic" w:cs="Times New Roman"/>
          <w:b/>
          <w:sz w:val="20"/>
          <w:szCs w:val="20"/>
        </w:rPr>
        <w:t>)</w:t>
      </w:r>
      <w:r>
        <w:rPr>
          <w:rFonts w:ascii="Century Gothic" w:hAnsi="Century Gothic" w:cs="Times New Roman"/>
          <w:b/>
          <w:sz w:val="20"/>
          <w:szCs w:val="20"/>
        </w:rPr>
        <w:t xml:space="preserve">, w </w:t>
      </w:r>
      <w:r w:rsidR="00822F1E">
        <w:rPr>
          <w:rFonts w:ascii="Century Gothic" w:hAnsi="Century Gothic" w:cs="Times New Roman"/>
          <w:b/>
          <w:sz w:val="20"/>
          <w:szCs w:val="20"/>
        </w:rPr>
        <w:t>I półroczu</w:t>
      </w:r>
      <w:r>
        <w:rPr>
          <w:rFonts w:ascii="Century Gothic" w:hAnsi="Century Gothic" w:cs="Times New Roman"/>
          <w:b/>
          <w:sz w:val="20"/>
          <w:szCs w:val="20"/>
        </w:rPr>
        <w:t xml:space="preserve"> br. sprzedaż nie tylko udało się odbudować,</w:t>
      </w:r>
      <w:r w:rsidR="00822F1E">
        <w:rPr>
          <w:rFonts w:ascii="Century Gothic" w:hAnsi="Century Gothic" w:cs="Times New Roman"/>
          <w:b/>
          <w:sz w:val="20"/>
          <w:szCs w:val="20"/>
        </w:rPr>
        <w:t xml:space="preserve"> ale jeszcze dodatkowo rozwinąć. Eksport liczony w euro wzrósł bowiem wg danych GUS aż o blisko 23 proc. w porównaniu do wyniku zanotowanego na koniec czerwc</w:t>
      </w:r>
      <w:r w:rsidR="0069437F">
        <w:rPr>
          <w:rFonts w:ascii="Century Gothic" w:hAnsi="Century Gothic" w:cs="Times New Roman"/>
          <w:b/>
          <w:sz w:val="20"/>
          <w:szCs w:val="20"/>
        </w:rPr>
        <w:t>a w czasie pierwszego lockdownu. Podobny przyrost zanotował także import (o 23,6 proc.).</w:t>
      </w:r>
      <w:bookmarkStart w:id="0" w:name="_GoBack"/>
      <w:bookmarkEnd w:id="0"/>
    </w:p>
    <w:p w14:paraId="1BCB018C" w14:textId="38E5E4B0" w:rsidR="0069437F" w:rsidRPr="00BA1E8B" w:rsidRDefault="00AA4B44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Polski eksport po raz kolejny pokazał swoją siłę. </w:t>
      </w:r>
      <w:r w:rsidR="00077D49">
        <w:rPr>
          <w:rFonts w:ascii="Century Gothic" w:hAnsi="Century Gothic" w:cs="Times New Roman"/>
          <w:sz w:val="20"/>
          <w:szCs w:val="20"/>
        </w:rPr>
        <w:t>Z wynikiem sprzedaży towarów rzędu 136,8 mld euro (621,2 mld zł)</w:t>
      </w:r>
      <w:r w:rsidR="005673EE">
        <w:rPr>
          <w:rFonts w:ascii="Century Gothic" w:hAnsi="Century Gothic" w:cs="Times New Roman"/>
          <w:sz w:val="20"/>
          <w:szCs w:val="20"/>
        </w:rPr>
        <w:t xml:space="preserve"> w</w:t>
      </w:r>
      <w:r w:rsidR="00077D49">
        <w:rPr>
          <w:rFonts w:ascii="Century Gothic" w:hAnsi="Century Gothic" w:cs="Times New Roman"/>
          <w:sz w:val="20"/>
          <w:szCs w:val="20"/>
        </w:rPr>
        <w:t xml:space="preserve"> I półroczu 2021 r. pobił swój ubiegłoroczny wynik aż o 22,9 proc. (27,4 proc. dla danych liczonych w zł). </w:t>
      </w:r>
      <w:r w:rsidR="00F44755">
        <w:rPr>
          <w:rFonts w:ascii="Century Gothic" w:hAnsi="Century Gothic" w:cs="Times New Roman"/>
          <w:sz w:val="20"/>
          <w:szCs w:val="20"/>
        </w:rPr>
        <w:t xml:space="preserve">Jak zauważają eksperci </w:t>
      </w:r>
      <w:r w:rsidR="005673EE">
        <w:rPr>
          <w:rFonts w:ascii="Century Gothic" w:hAnsi="Century Gothic" w:cs="Times New Roman"/>
          <w:sz w:val="20"/>
          <w:szCs w:val="20"/>
        </w:rPr>
        <w:t>i</w:t>
      </w:r>
      <w:r w:rsidR="00F44755">
        <w:rPr>
          <w:rFonts w:ascii="Century Gothic" w:hAnsi="Century Gothic" w:cs="Times New Roman"/>
          <w:sz w:val="20"/>
          <w:szCs w:val="20"/>
        </w:rPr>
        <w:t xml:space="preserve">nstytucji płatniczej Akcenta, tak wysoki skok to </w:t>
      </w:r>
      <w:r w:rsidR="0069437F">
        <w:rPr>
          <w:rFonts w:ascii="Century Gothic" w:hAnsi="Century Gothic" w:cs="Times New Roman"/>
          <w:sz w:val="20"/>
          <w:szCs w:val="20"/>
        </w:rPr>
        <w:t xml:space="preserve">po części </w:t>
      </w:r>
      <w:r w:rsidR="00F44755">
        <w:rPr>
          <w:rFonts w:ascii="Century Gothic" w:hAnsi="Century Gothic" w:cs="Times New Roman"/>
          <w:sz w:val="20"/>
          <w:szCs w:val="20"/>
        </w:rPr>
        <w:t>wynik niskiej bazy z roku ubiegłego, gdy mieliśmy do czynienia z najtrudniejszym okresem pandemii i ogólnoświatowym lockdownem. Jednak nawet biorąc pod uwagę ten czynnik, wzrost jest imponujący i przewyższa odrabianie strat z poprzedniego roku.</w:t>
      </w:r>
    </w:p>
    <w:p w14:paraId="4F57A868" w14:textId="5504B386" w:rsidR="00AA4B44" w:rsidRDefault="00077D49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– </w:t>
      </w:r>
      <w:r w:rsidRPr="00077D49">
        <w:rPr>
          <w:rFonts w:ascii="Century Gothic" w:hAnsi="Century Gothic" w:cs="Times New Roman"/>
          <w:sz w:val="20"/>
          <w:szCs w:val="20"/>
        </w:rPr>
        <w:t xml:space="preserve"> </w:t>
      </w:r>
      <w:r w:rsidR="00AA4B44" w:rsidRPr="00077D49">
        <w:rPr>
          <w:rFonts w:ascii="Century Gothic" w:hAnsi="Century Gothic" w:cs="Times New Roman"/>
          <w:i/>
          <w:sz w:val="20"/>
          <w:szCs w:val="20"/>
        </w:rPr>
        <w:t>Wpływ pandemii na handel zagraniczny widać było bardzo szybko w danych. Już w kwietniu 2020 r. sprzedaż zanurkowała i to od razu o 5,3 proc. rok do roku, przerywając tym samym</w:t>
      </w:r>
      <w:r w:rsidR="00C303FF" w:rsidRPr="00077D49">
        <w:rPr>
          <w:rFonts w:ascii="Century Gothic" w:hAnsi="Century Gothic" w:cs="Times New Roman"/>
          <w:i/>
          <w:sz w:val="20"/>
          <w:szCs w:val="20"/>
        </w:rPr>
        <w:t xml:space="preserve"> wieloletnie pasmo wzrostów. Kolejne miesiące nie były lepsze, jednak ani razu spadki nie przekroczyły 10 proc., a więc nie były dramatyczne. Mimo ogromnych trudności i niepew</w:t>
      </w:r>
      <w:r w:rsidRPr="00077D49">
        <w:rPr>
          <w:rFonts w:ascii="Century Gothic" w:hAnsi="Century Gothic" w:cs="Times New Roman"/>
          <w:i/>
          <w:sz w:val="20"/>
          <w:szCs w:val="20"/>
        </w:rPr>
        <w:t>ności na koniec biegłego roku</w:t>
      </w:r>
      <w:r w:rsidR="00C303FF" w:rsidRPr="00077D49">
        <w:rPr>
          <w:rFonts w:ascii="Century Gothic" w:hAnsi="Century Gothic" w:cs="Times New Roman"/>
          <w:i/>
          <w:sz w:val="20"/>
          <w:szCs w:val="20"/>
        </w:rPr>
        <w:t xml:space="preserve"> eksporterom udało się </w:t>
      </w:r>
      <w:r w:rsidRPr="00077D49">
        <w:rPr>
          <w:rFonts w:ascii="Century Gothic" w:hAnsi="Century Gothic" w:cs="Times New Roman"/>
          <w:i/>
          <w:sz w:val="20"/>
          <w:szCs w:val="20"/>
        </w:rPr>
        <w:t>wysłać za granicę towary na kwotę bliską do tej notowanej przed pandemią, a nawet wypracować niewielki wzrost, o 0,7 proc. rok do roku. W normalnych czasach pewnie byłoby to kilka procent na plusie, jednak przy takich okolicznościach, to naprawdę dobry wynik</w:t>
      </w:r>
      <w:r>
        <w:rPr>
          <w:rFonts w:ascii="Century Gothic" w:hAnsi="Century Gothic" w:cs="Times New Roman"/>
          <w:sz w:val="20"/>
          <w:szCs w:val="20"/>
        </w:rPr>
        <w:t xml:space="preserve"> – podkreśla Radosław Jarema, dyrektor polskiego oddziału Akcenty.</w:t>
      </w:r>
    </w:p>
    <w:p w14:paraId="56C3687C" w14:textId="668316D7" w:rsidR="00BA1E8B" w:rsidRPr="00BA1E8B" w:rsidRDefault="00BA1E8B" w:rsidP="002D3F85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A1E8B">
        <w:rPr>
          <w:rFonts w:ascii="Century Gothic" w:hAnsi="Century Gothic" w:cs="Times New Roman"/>
          <w:b/>
          <w:sz w:val="20"/>
          <w:szCs w:val="20"/>
        </w:rPr>
        <w:t xml:space="preserve">Pandemiczne przetasowania </w:t>
      </w:r>
    </w:p>
    <w:p w14:paraId="3067F97E" w14:textId="7C71E326" w:rsidR="00F44755" w:rsidRDefault="0069437F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W porównaniu do pierwszej połowy ubiegłego roku największy wzrost sprzedaży towarów polscy eksporterzy zanotowani na kierunku włoskim. Tu skok sięgał aż 44,8 proc. r/r. Był to jednak kraj, który pandemia dotknęła najciężej i gdzie polski wywóz osłabł najbardziej (o 19,1 proc. r/r w I poł. 2020 r.) wśród najważniejszych rynków zbytu dla polskiej wymiany handlowej. </w:t>
      </w:r>
    </w:p>
    <w:p w14:paraId="497D222E" w14:textId="5DA755E4" w:rsidR="00BE781A" w:rsidRDefault="00BE781A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Bardzo wysoki przyrost obrotów eksporterzy zanotowali także na kierunku francuskim i hiszpańskim, odpowiednio o 31,3 proc. oraz 29,1 proc. r/r. Nastąpiło przez to przetasowanie na liście</w:t>
      </w:r>
      <w:r w:rsidR="005673EE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pierwszej dziesiątki najważniejszych rynków zbytu dla polskiego eksportu. Francja awansowała na drugą pozycję, wyprzedzając Czechy i Wielką Brytanie, które </w:t>
      </w:r>
      <w:r w:rsidR="005673EE">
        <w:rPr>
          <w:rFonts w:ascii="Century Gothic" w:hAnsi="Century Gothic" w:cs="Times New Roman"/>
          <w:sz w:val="20"/>
          <w:szCs w:val="20"/>
        </w:rPr>
        <w:t xml:space="preserve">zajmowały </w:t>
      </w:r>
      <w:r>
        <w:rPr>
          <w:rFonts w:ascii="Century Gothic" w:hAnsi="Century Gothic" w:cs="Times New Roman"/>
          <w:sz w:val="20"/>
          <w:szCs w:val="20"/>
        </w:rPr>
        <w:t>na zmianę drugą i trzecią pozycję od kilku lat. Hiszpania z kolei pojawiła się w tym zestawieniu na 10. miejscu, rok temu to miejsce należało do Węgier. Niezmienna pozostała jednak pozycja naszego głównego odbiorcy towarów – Niemiec. Wywóz do naszego zachodniego sąsiada urósł o 24,1 proc., co, jak podkreślają eksperci Akcenty, jest bardzo zna</w:t>
      </w:r>
      <w:r w:rsidR="009446D1">
        <w:rPr>
          <w:rFonts w:ascii="Century Gothic" w:hAnsi="Century Gothic" w:cs="Times New Roman"/>
          <w:sz w:val="20"/>
          <w:szCs w:val="20"/>
        </w:rPr>
        <w:t>czącą zmianą. Odpowiadają mu bowiem znaczące kwoty. Wartość polskiego eksportu do Niemiec sięga 39,2 mld zł (178,1 mld zł) i stanowi 28,7 proc. całego wywozu. To niemal 5-krotnie więcej niż w przypadku kolejnych na liście państw – Francji czy Czech. Wzrost sprzedaży za Odrę przekłada się więc najmocniej na wyniki polskich eksporterów.</w:t>
      </w:r>
    </w:p>
    <w:p w14:paraId="748C9E0B" w14:textId="1F6579EB" w:rsidR="009446D1" w:rsidRDefault="009446D1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Na uwagę zasługuje także sytuacja na kierunku brytyjskim. Zjednoczone Królestwo spadło na czwart</w:t>
      </w:r>
      <w:r w:rsidR="005673EE">
        <w:rPr>
          <w:rFonts w:ascii="Century Gothic" w:hAnsi="Century Gothic" w:cs="Times New Roman"/>
          <w:sz w:val="20"/>
          <w:szCs w:val="20"/>
        </w:rPr>
        <w:t>ą</w:t>
      </w:r>
      <w:r>
        <w:rPr>
          <w:rFonts w:ascii="Century Gothic" w:hAnsi="Century Gothic" w:cs="Times New Roman"/>
          <w:sz w:val="20"/>
          <w:szCs w:val="20"/>
        </w:rPr>
        <w:t xml:space="preserve"> pozycję wśród najważniejszych destynacji dla polskich eksporterów. Sprzedaż na ten </w:t>
      </w:r>
      <w:r>
        <w:rPr>
          <w:rFonts w:ascii="Century Gothic" w:hAnsi="Century Gothic" w:cs="Times New Roman"/>
          <w:sz w:val="20"/>
          <w:szCs w:val="20"/>
        </w:rPr>
        <w:lastRenderedPageBreak/>
        <w:t xml:space="preserve">rynek zanotowała też jedne z niższych przyrostów (6,9 proc. r/r). W pierwszej dziesiątce słabiej odbił jedynie wywóz do USA (3,5 proc. r/r). – </w:t>
      </w:r>
      <w:r w:rsidR="00BA1E8B" w:rsidRPr="00BA1E8B">
        <w:rPr>
          <w:rFonts w:ascii="Century Gothic" w:hAnsi="Century Gothic" w:cs="Times New Roman"/>
          <w:i/>
          <w:sz w:val="20"/>
          <w:szCs w:val="20"/>
        </w:rPr>
        <w:t xml:space="preserve">Nawet bez pojawienia się Covid-19 stosunki handlowe z Wielką Brytanią </w:t>
      </w:r>
      <w:r w:rsidR="00BA1E8B">
        <w:rPr>
          <w:rFonts w:ascii="Century Gothic" w:hAnsi="Century Gothic" w:cs="Times New Roman"/>
          <w:i/>
          <w:sz w:val="20"/>
          <w:szCs w:val="20"/>
        </w:rPr>
        <w:t xml:space="preserve">pewnie uległyby </w:t>
      </w:r>
      <w:r w:rsidR="00BA1E8B" w:rsidRPr="00BA1E8B">
        <w:rPr>
          <w:rFonts w:ascii="Century Gothic" w:hAnsi="Century Gothic" w:cs="Times New Roman"/>
          <w:i/>
          <w:sz w:val="20"/>
          <w:szCs w:val="20"/>
        </w:rPr>
        <w:t xml:space="preserve">osłabieniu. </w:t>
      </w:r>
      <w:r w:rsidRPr="00BA1E8B">
        <w:rPr>
          <w:rFonts w:ascii="Century Gothic" w:hAnsi="Century Gothic" w:cs="Times New Roman"/>
          <w:i/>
          <w:sz w:val="20"/>
          <w:szCs w:val="20"/>
        </w:rPr>
        <w:t xml:space="preserve">Brexit </w:t>
      </w:r>
      <w:r w:rsidR="00BA1E8B" w:rsidRPr="00BA1E8B">
        <w:rPr>
          <w:rFonts w:ascii="Century Gothic" w:hAnsi="Century Gothic" w:cs="Times New Roman"/>
          <w:i/>
          <w:sz w:val="20"/>
          <w:szCs w:val="20"/>
        </w:rPr>
        <w:t>jednak bardzo niefortunnie nałożył się w czasie z pandemią. Przez to także ci</w:t>
      </w:r>
      <w:r w:rsidR="00BA1E8B">
        <w:rPr>
          <w:rFonts w:ascii="Century Gothic" w:hAnsi="Century Gothic" w:cs="Times New Roman"/>
          <w:i/>
          <w:sz w:val="20"/>
          <w:szCs w:val="20"/>
        </w:rPr>
        <w:t>ężko realnie ocenić jego wpływ. P</w:t>
      </w:r>
      <w:r w:rsidR="00BA1E8B" w:rsidRPr="00BA1E8B">
        <w:rPr>
          <w:rFonts w:ascii="Century Gothic" w:hAnsi="Century Gothic" w:cs="Times New Roman"/>
          <w:i/>
          <w:sz w:val="20"/>
          <w:szCs w:val="20"/>
        </w:rPr>
        <w:t>andemia bardzo mocno go przyćmiła</w:t>
      </w:r>
      <w:r w:rsidR="00BA1E8B">
        <w:rPr>
          <w:rFonts w:ascii="Century Gothic" w:hAnsi="Century Gothic" w:cs="Times New Roman"/>
          <w:i/>
          <w:sz w:val="20"/>
          <w:szCs w:val="20"/>
        </w:rPr>
        <w:t>. Można się jednak spodziewać, że rozwijanie sprzedaży na tym kierunku może być dla polskich eksporterów trudniejsze i znacznie wolniejsze</w:t>
      </w:r>
      <w:r w:rsidR="00BA1E8B">
        <w:rPr>
          <w:rFonts w:ascii="Century Gothic" w:hAnsi="Century Gothic" w:cs="Times New Roman"/>
          <w:sz w:val="20"/>
          <w:szCs w:val="20"/>
        </w:rPr>
        <w:t xml:space="preserve"> – dodaje Radosław Jarema.</w:t>
      </w:r>
    </w:p>
    <w:p w14:paraId="1DEFA88E" w14:textId="0B67807F" w:rsidR="00BA1E8B" w:rsidRPr="00147CF1" w:rsidRDefault="00147CF1" w:rsidP="002D3F85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Uwaga na ryzyko kursowe</w:t>
      </w:r>
    </w:p>
    <w:p w14:paraId="22C38E93" w14:textId="64A29071" w:rsidR="00147CF1" w:rsidRDefault="00BA1E8B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 półrocze 2021 r. polski handel zagraniczny zamyka na plusie. Saldo obrotów jest dodatnie i wyn</w:t>
      </w:r>
      <w:r w:rsidR="005673EE">
        <w:rPr>
          <w:rFonts w:ascii="Century Gothic" w:hAnsi="Century Gothic" w:cs="Times New Roman"/>
          <w:sz w:val="20"/>
          <w:szCs w:val="20"/>
        </w:rPr>
        <w:t>osi</w:t>
      </w:r>
      <w:r>
        <w:rPr>
          <w:rFonts w:ascii="Century Gothic" w:hAnsi="Century Gothic" w:cs="Times New Roman"/>
          <w:sz w:val="20"/>
          <w:szCs w:val="20"/>
        </w:rPr>
        <w:t xml:space="preserve"> 3,8 mld euro (17,3 mld zł). Na tegoroczne wyniki wpływ maj</w:t>
      </w:r>
      <w:r w:rsidR="005673EE">
        <w:rPr>
          <w:rFonts w:ascii="Century Gothic" w:hAnsi="Century Gothic" w:cs="Times New Roman"/>
          <w:sz w:val="20"/>
          <w:szCs w:val="20"/>
        </w:rPr>
        <w:t>ą</w:t>
      </w:r>
      <w:r>
        <w:rPr>
          <w:rFonts w:ascii="Century Gothic" w:hAnsi="Century Gothic" w:cs="Times New Roman"/>
          <w:sz w:val="20"/>
          <w:szCs w:val="20"/>
        </w:rPr>
        <w:t xml:space="preserve"> i będą mieć także kursy walut. Dotychczas słaby złoty znacząco wspierał polski eksport i jego konkurencyjność. Oczywiście na jego kurs wobec głównych walut, jak euro czy dolar, miała wpływ pandemia. – </w:t>
      </w:r>
      <w:r w:rsidRPr="0039607B">
        <w:rPr>
          <w:rFonts w:ascii="Century Gothic" w:hAnsi="Century Gothic" w:cs="Times New Roman"/>
          <w:i/>
          <w:sz w:val="20"/>
          <w:szCs w:val="20"/>
        </w:rPr>
        <w:t xml:space="preserve">W </w:t>
      </w:r>
      <w:r w:rsidR="00C76A5D" w:rsidRPr="0039607B">
        <w:rPr>
          <w:rFonts w:ascii="Century Gothic" w:hAnsi="Century Gothic" w:cs="Times New Roman"/>
          <w:i/>
          <w:sz w:val="20"/>
          <w:szCs w:val="20"/>
        </w:rPr>
        <w:t>czasie niepewności i zawirowań na wartości zyskują waluty uznawane za bezpieczne, w tym właśnie euro czy dolar, w których najczęściej zawierają również kontrakty firmy handlujące z zagranicą. Wysoki kurs w stosunku do złotówki pomaga zarabiać eksportowi. Jednak taka sytuacja nie będzie trwać wiecznie. Sądzę, że w dłuższej perspektywie złoty może się nieco umocnić w stosunku do najważniejszego dla naszej wymiany euro. Raczej nie nastąpi to w najbliższym czasie, za miesiąc czy dwa, ale taki</w:t>
      </w:r>
      <w:r w:rsidR="005673EE">
        <w:rPr>
          <w:rFonts w:ascii="Century Gothic" w:hAnsi="Century Gothic" w:cs="Times New Roman"/>
          <w:i/>
          <w:sz w:val="20"/>
          <w:szCs w:val="20"/>
        </w:rPr>
        <w:t>ch</w:t>
      </w:r>
      <w:r w:rsidR="00C76A5D" w:rsidRPr="0039607B">
        <w:rPr>
          <w:rFonts w:ascii="Century Gothic" w:hAnsi="Century Gothic" w:cs="Times New Roman"/>
          <w:i/>
          <w:sz w:val="20"/>
          <w:szCs w:val="20"/>
        </w:rPr>
        <w:t xml:space="preserve"> ruc</w:t>
      </w:r>
      <w:r w:rsidR="005673EE">
        <w:rPr>
          <w:rFonts w:ascii="Century Gothic" w:hAnsi="Century Gothic" w:cs="Times New Roman"/>
          <w:i/>
          <w:sz w:val="20"/>
          <w:szCs w:val="20"/>
        </w:rPr>
        <w:t>hów</w:t>
      </w:r>
      <w:r w:rsidR="00C76A5D" w:rsidRPr="0039607B">
        <w:rPr>
          <w:rFonts w:ascii="Century Gothic" w:hAnsi="Century Gothic" w:cs="Times New Roman"/>
          <w:i/>
          <w:sz w:val="20"/>
          <w:szCs w:val="20"/>
        </w:rPr>
        <w:t xml:space="preserve"> w notowaniach spodziewam się </w:t>
      </w:r>
      <w:r w:rsidR="0039607B" w:rsidRPr="0039607B">
        <w:rPr>
          <w:rFonts w:ascii="Century Gothic" w:hAnsi="Century Gothic" w:cs="Times New Roman"/>
          <w:i/>
          <w:sz w:val="20"/>
          <w:szCs w:val="20"/>
        </w:rPr>
        <w:t>w perspektywie około 6 miesięcy</w:t>
      </w:r>
      <w:r w:rsidR="00F838D3">
        <w:rPr>
          <w:rFonts w:ascii="Century Gothic" w:hAnsi="Century Gothic" w:cs="Times New Roman"/>
          <w:sz w:val="20"/>
          <w:szCs w:val="20"/>
        </w:rPr>
        <w:t xml:space="preserve"> – </w:t>
      </w:r>
      <w:r w:rsidR="00F838D3" w:rsidRPr="00F838D3">
        <w:rPr>
          <w:rFonts w:ascii="Century Gothic" w:hAnsi="Century Gothic" w:cs="Times New Roman"/>
          <w:sz w:val="20"/>
          <w:szCs w:val="20"/>
        </w:rPr>
        <w:t>mówi Miroslav Novák, główny analityk Akcenty</w:t>
      </w:r>
      <w:r w:rsidR="00F838D3" w:rsidRPr="00F838D3">
        <w:rPr>
          <w:rFonts w:ascii="Century Gothic" w:hAnsi="Century Gothic" w:cs="Times New Roman"/>
          <w:sz w:val="20"/>
          <w:szCs w:val="20"/>
        </w:rPr>
        <w:t xml:space="preserve"> i dodaje, że</w:t>
      </w:r>
      <w:r w:rsidR="00814628" w:rsidRPr="00F838D3">
        <w:rPr>
          <w:rFonts w:ascii="Century Gothic" w:hAnsi="Century Gothic" w:cs="Times New Roman"/>
          <w:sz w:val="20"/>
          <w:szCs w:val="20"/>
        </w:rPr>
        <w:t xml:space="preserve"> </w:t>
      </w:r>
      <w:r w:rsidR="00F838D3" w:rsidRPr="00F838D3">
        <w:rPr>
          <w:rFonts w:ascii="Century Gothic" w:hAnsi="Century Gothic" w:cs="Times New Roman"/>
          <w:sz w:val="20"/>
          <w:szCs w:val="20"/>
        </w:rPr>
        <w:t>z</w:t>
      </w:r>
      <w:r w:rsidR="00814628" w:rsidRPr="00F838D3">
        <w:rPr>
          <w:rFonts w:ascii="Century Gothic" w:hAnsi="Century Gothic" w:cs="Times New Roman"/>
          <w:sz w:val="20"/>
          <w:szCs w:val="20"/>
        </w:rPr>
        <w:t xml:space="preserve"> punktu widzenia złotego ważne jest</w:t>
      </w:r>
      <w:r w:rsidR="00F838D3">
        <w:rPr>
          <w:rFonts w:ascii="Century Gothic" w:hAnsi="Century Gothic" w:cs="Times New Roman"/>
          <w:sz w:val="20"/>
          <w:szCs w:val="20"/>
        </w:rPr>
        <w:t xml:space="preserve"> także to, jak Rada Polityki Pieniężnej</w:t>
      </w:r>
      <w:r w:rsidR="00814628" w:rsidRPr="00F838D3">
        <w:rPr>
          <w:rFonts w:ascii="Century Gothic" w:hAnsi="Century Gothic" w:cs="Times New Roman"/>
          <w:sz w:val="20"/>
          <w:szCs w:val="20"/>
        </w:rPr>
        <w:t xml:space="preserve"> zareaguje na obecny wysoki wzrost inflacji.</w:t>
      </w:r>
      <w:r w:rsidR="00814628" w:rsidRPr="00814628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F838D3">
        <w:rPr>
          <w:rFonts w:ascii="Century Gothic" w:hAnsi="Century Gothic" w:cs="Times New Roman"/>
          <w:sz w:val="20"/>
          <w:szCs w:val="20"/>
        </w:rPr>
        <w:t>–</w:t>
      </w:r>
      <w:r w:rsidR="00F838D3">
        <w:rPr>
          <w:rFonts w:ascii="Century Gothic" w:hAnsi="Century Gothic" w:cs="Times New Roman"/>
          <w:i/>
          <w:sz w:val="20"/>
          <w:szCs w:val="20"/>
        </w:rPr>
        <w:t xml:space="preserve"> Sądzę</w:t>
      </w:r>
      <w:r w:rsidR="00814628" w:rsidRPr="00814628">
        <w:rPr>
          <w:rFonts w:ascii="Century Gothic" w:hAnsi="Century Gothic" w:cs="Times New Roman"/>
          <w:i/>
          <w:sz w:val="20"/>
          <w:szCs w:val="20"/>
        </w:rPr>
        <w:t>, że RPP</w:t>
      </w:r>
      <w:r w:rsidR="00F838D3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814628" w:rsidRPr="00814628">
        <w:rPr>
          <w:rFonts w:ascii="Century Gothic" w:hAnsi="Century Gothic" w:cs="Times New Roman"/>
          <w:i/>
          <w:sz w:val="20"/>
          <w:szCs w:val="20"/>
        </w:rPr>
        <w:t>podniesie stopy procentowe w listopadzie, co może być ważnym impulsem do umocnienia złotego, zwłaszcza w 2022 roku.</w:t>
      </w:r>
    </w:p>
    <w:p w14:paraId="66D8ABD9" w14:textId="42FAFD19" w:rsidR="0039607B" w:rsidRPr="00A75E33" w:rsidRDefault="0039607B" w:rsidP="002D3F8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Niekorzystne zmiany kursów to ryzyko wpisane w działalność polskich eksporterów i importerów. Nie muszą jednak oddziaływać na ich marże. Firmy mają bowiem dostęp</w:t>
      </w:r>
      <w:r w:rsidR="005673EE">
        <w:rPr>
          <w:rFonts w:ascii="Century Gothic" w:hAnsi="Century Gothic" w:cs="Times New Roman"/>
          <w:sz w:val="20"/>
          <w:szCs w:val="20"/>
        </w:rPr>
        <w:t xml:space="preserve"> do</w:t>
      </w:r>
      <w:r>
        <w:rPr>
          <w:rFonts w:ascii="Century Gothic" w:hAnsi="Century Gothic" w:cs="Times New Roman"/>
          <w:sz w:val="20"/>
          <w:szCs w:val="20"/>
        </w:rPr>
        <w:t xml:space="preserve"> narzędzi finansow</w:t>
      </w:r>
      <w:r w:rsidR="005673EE">
        <w:rPr>
          <w:rFonts w:ascii="Century Gothic" w:hAnsi="Century Gothic" w:cs="Times New Roman"/>
          <w:sz w:val="20"/>
          <w:szCs w:val="20"/>
        </w:rPr>
        <w:t>ych</w:t>
      </w:r>
      <w:r>
        <w:rPr>
          <w:rFonts w:ascii="Century Gothic" w:hAnsi="Century Gothic" w:cs="Times New Roman"/>
          <w:sz w:val="20"/>
          <w:szCs w:val="20"/>
        </w:rPr>
        <w:t xml:space="preserve">, które pozwalają im zabezpieczyć kurs po jakim zrealizują swój zagraniczny kontrakt. </w:t>
      </w:r>
      <w:r w:rsidR="00147CF1">
        <w:rPr>
          <w:rFonts w:ascii="Century Gothic" w:hAnsi="Century Gothic" w:cs="Times New Roman"/>
          <w:sz w:val="20"/>
          <w:szCs w:val="20"/>
        </w:rPr>
        <w:t xml:space="preserve">Jednym z najprostszych jest transakcja forward, dzięki której przedsiębiorca zamraża kurs dla konkretnego kontraktu na określony w umowie z instytucją finansową czas. Może dzięki temu wymienić zapłatę za zrealizowane zamówienie na złotówki, po z góry wiadomym mu kursie. Rozwiązania pomagające zabezpieczyć się przed nieprzewidywalnością notowań </w:t>
      </w:r>
      <w:r>
        <w:rPr>
          <w:rFonts w:ascii="Century Gothic" w:hAnsi="Century Gothic" w:cs="Times New Roman"/>
          <w:sz w:val="20"/>
          <w:szCs w:val="20"/>
        </w:rPr>
        <w:t>zyskały na popularności w czasie pandemii. Akcenta, oferująca poza wymianą walut dla firm także narzędzie do eliminowania rynka kursowego, zanotowała znacząc</w:t>
      </w:r>
      <w:r w:rsidR="005673EE">
        <w:rPr>
          <w:rFonts w:ascii="Century Gothic" w:hAnsi="Century Gothic" w:cs="Times New Roman"/>
          <w:sz w:val="20"/>
          <w:szCs w:val="20"/>
        </w:rPr>
        <w:t>y</w:t>
      </w:r>
      <w:r>
        <w:rPr>
          <w:rFonts w:ascii="Century Gothic" w:hAnsi="Century Gothic" w:cs="Times New Roman"/>
          <w:sz w:val="20"/>
          <w:szCs w:val="20"/>
        </w:rPr>
        <w:t xml:space="preserve"> wzrost zainteresowania tymi narzędziami. W 2020 r. wartość zabezpieczanych przez nią kontraktów w Polsce wzrosła rok do roku aż 4,5-krotnie. </w:t>
      </w:r>
    </w:p>
    <w:p w14:paraId="37DE4C01" w14:textId="77777777" w:rsidR="007246CB" w:rsidRPr="00A75E33" w:rsidRDefault="007246CB" w:rsidP="00DE453B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7C1BB8A" w14:textId="77777777" w:rsidR="00F0358D" w:rsidRPr="00A75E33" w:rsidRDefault="00F0358D" w:rsidP="00F0358D">
      <w:pPr>
        <w:spacing w:before="120" w:line="360" w:lineRule="auto"/>
        <w:jc w:val="center"/>
        <w:rPr>
          <w:rFonts w:ascii="Century Gothic" w:hAnsi="Century Gothic" w:cs="Times New Roman"/>
        </w:rPr>
      </w:pPr>
      <w:r w:rsidRPr="00A75E33">
        <w:rPr>
          <w:rFonts w:ascii="Century Gothic" w:hAnsi="Century Gothic" w:cs="Times New Roman"/>
        </w:rPr>
        <w:t>***</w:t>
      </w:r>
    </w:p>
    <w:p w14:paraId="3E4472A0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b/>
          <w:sz w:val="18"/>
          <w:lang w:eastAsia="pl-PL"/>
        </w:rPr>
        <w:t>AKCENTA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 to międzynarodowa instytucja płatnicza, oferująca </w:t>
      </w:r>
      <w:r w:rsidRPr="00A75E33">
        <w:rPr>
          <w:rFonts w:ascii="Century Gothic" w:hAnsi="Century Gothic" w:cs="Times New Roman"/>
          <w:b/>
          <w:sz w:val="18"/>
          <w:lang w:eastAsia="pl-PL"/>
        </w:rPr>
        <w:t>obsługę transakcji walutowych dla firm zajmujących się eksportem i importem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. </w:t>
      </w:r>
    </w:p>
    <w:p w14:paraId="62EE47A1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b/>
          <w:sz w:val="18"/>
          <w:lang w:eastAsia="pl-PL"/>
        </w:rPr>
        <w:t>AKCENTA specjalizuje się w wymianie walut, realizacji płatności zagranicznych i transakcjach zabezpieczających kursy walut</w:t>
      </w:r>
      <w:r w:rsidRPr="00A75E33">
        <w:rPr>
          <w:rFonts w:ascii="Century Gothic" w:hAnsi="Century Gothic" w:cs="Times New Roman"/>
          <w:sz w:val="18"/>
          <w:lang w:eastAsia="pl-PL"/>
        </w:rPr>
        <w:t>. Przewagami AKCENTY wobec banków są bardzo dobre oferowane kursy walut, które każdy Klient może negocjować, niskie opłaty za przelewy międzynarodowe oraz bezpłatne rachunki. Przewagą AKCENTY wobec kantorów internetowych jest specjalizacja w kierunku obsługi firm i pełna oferta usług walutowych uwzględniających potrzeby przedsiębiorstw, w tym transakcje z rynku terminowego (</w:t>
      </w:r>
      <w:proofErr w:type="spellStart"/>
      <w:r w:rsidRPr="00A75E33">
        <w:rPr>
          <w:rFonts w:ascii="Century Gothic" w:hAnsi="Century Gothic" w:cs="Times New Roman"/>
          <w:sz w:val="18"/>
          <w:lang w:eastAsia="pl-PL"/>
        </w:rPr>
        <w:t>forwardy</w:t>
      </w:r>
      <w:proofErr w:type="spellEnd"/>
      <w:r w:rsidRPr="00A75E33">
        <w:rPr>
          <w:rFonts w:ascii="Century Gothic" w:hAnsi="Century Gothic" w:cs="Times New Roman"/>
          <w:sz w:val="18"/>
          <w:lang w:eastAsia="pl-PL"/>
        </w:rPr>
        <w:t>).</w:t>
      </w:r>
    </w:p>
    <w:p w14:paraId="6A3ECDB8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lastRenderedPageBreak/>
        <w:t>AKCENTA działa na rynkach finansowych od ponad</w:t>
      </w:r>
      <w:r w:rsidRPr="00A75E33">
        <w:rPr>
          <w:rFonts w:ascii="Century Gothic" w:hAnsi="Century Gothic" w:cs="Times New Roman"/>
          <w:b/>
          <w:sz w:val="18"/>
          <w:lang w:eastAsia="pl-PL"/>
        </w:rPr>
        <w:t xml:space="preserve"> 20 lat, obecnie w 7 krajach Europy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: w Czechach, Francji, Niemczech, Polsce, Rumunii oraz na Słowacji i Węgrzech. </w:t>
      </w:r>
      <w:r w:rsidRPr="00A75E33">
        <w:rPr>
          <w:rFonts w:ascii="Century Gothic" w:hAnsi="Century Gothic" w:cs="Arial"/>
          <w:b/>
          <w:sz w:val="18"/>
          <w:lang w:eastAsia="pl-PL"/>
        </w:rPr>
        <w:tab/>
      </w:r>
    </w:p>
    <w:p w14:paraId="0666EAB5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color w:val="0000FF"/>
          <w:sz w:val="18"/>
          <w:u w:val="single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t xml:space="preserve">Więcej informacji można znaleźć na stronie: </w:t>
      </w:r>
      <w:hyperlink r:id="rId8" w:history="1">
        <w:r w:rsidRPr="00A75E33">
          <w:rPr>
            <w:rStyle w:val="Hipercze"/>
            <w:rFonts w:ascii="Century Gothic" w:hAnsi="Century Gothic" w:cs="Times New Roman"/>
            <w:sz w:val="18"/>
            <w:lang w:eastAsia="pl-PL"/>
          </w:rPr>
          <w:t>http://www.akcenta.pl</w:t>
        </w:r>
      </w:hyperlink>
    </w:p>
    <w:p w14:paraId="3546D395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t>***</w:t>
      </w:r>
    </w:p>
    <w:p w14:paraId="792FCCF3" w14:textId="77777777" w:rsidR="00F0358D" w:rsidRPr="00A75E33" w:rsidRDefault="00F0358D" w:rsidP="00E15A33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A75E33">
        <w:rPr>
          <w:rFonts w:asciiTheme="majorHAnsi" w:hAnsiTheme="majorHAnsi" w:cstheme="majorHAnsi"/>
          <w:lang w:eastAsia="pl-PL"/>
        </w:rPr>
        <w:t>Kontakt dla mediów:</w:t>
      </w:r>
    </w:p>
    <w:p w14:paraId="39D66D9B" w14:textId="77777777" w:rsidR="00F0358D" w:rsidRPr="00A75E33" w:rsidRDefault="00F0358D" w:rsidP="00E15A33">
      <w:pPr>
        <w:spacing w:after="0" w:line="240" w:lineRule="auto"/>
        <w:rPr>
          <w:rFonts w:asciiTheme="majorHAnsi" w:hAnsiTheme="majorHAnsi" w:cstheme="majorHAnsi"/>
          <w:b/>
          <w:bCs/>
          <w:color w:val="EA1639"/>
          <w:lang w:eastAsia="pl-PL"/>
        </w:rPr>
      </w:pPr>
      <w:r w:rsidRPr="00A75E33">
        <w:rPr>
          <w:rFonts w:asciiTheme="majorHAnsi" w:hAnsiTheme="majorHAnsi" w:cstheme="majorHAnsi"/>
          <w:b/>
          <w:bCs/>
          <w:color w:val="EA1639"/>
          <w:lang w:eastAsia="pl-PL"/>
        </w:rPr>
        <w:t>agnieszka smużewska</w:t>
      </w:r>
    </w:p>
    <w:p w14:paraId="7237995D" w14:textId="77777777" w:rsidR="00F0358D" w:rsidRPr="00A75E33" w:rsidRDefault="00F0358D" w:rsidP="00E15A33">
      <w:pPr>
        <w:spacing w:after="0" w:line="240" w:lineRule="auto"/>
        <w:rPr>
          <w:rFonts w:asciiTheme="majorHAnsi" w:hAnsiTheme="majorHAnsi" w:cstheme="majorHAnsi"/>
          <w:lang w:eastAsia="pl-PL"/>
        </w:rPr>
      </w:pPr>
      <w:r w:rsidRPr="00A75E33">
        <w:rPr>
          <w:rFonts w:asciiTheme="majorHAnsi" w:hAnsiTheme="majorHAnsi" w:cstheme="majorHAnsi"/>
          <w:b/>
          <w:bCs/>
          <w:color w:val="EA1639"/>
          <w:lang w:eastAsia="pl-PL"/>
        </w:rPr>
        <w:t>m:</w:t>
      </w:r>
      <w:r w:rsidRPr="00A75E33">
        <w:rPr>
          <w:rFonts w:asciiTheme="majorHAnsi" w:hAnsiTheme="majorHAnsi" w:cstheme="majorHAnsi"/>
          <w:color w:val="EA1639"/>
          <w:lang w:eastAsia="pl-PL"/>
        </w:rPr>
        <w:t xml:space="preserve"> </w:t>
      </w:r>
      <w:r w:rsidRPr="00A75E33">
        <w:rPr>
          <w:rFonts w:asciiTheme="majorHAnsi" w:hAnsiTheme="majorHAnsi" w:cstheme="majorHAnsi"/>
          <w:color w:val="808080"/>
          <w:lang w:eastAsia="pl-PL"/>
        </w:rPr>
        <w:t>+48 517 077 554</w:t>
      </w:r>
    </w:p>
    <w:p w14:paraId="517914E0" w14:textId="1F2AA57B" w:rsidR="00F0358D" w:rsidRPr="00EE128E" w:rsidRDefault="00F0358D" w:rsidP="00E15A33">
      <w:pPr>
        <w:spacing w:after="0" w:line="240" w:lineRule="auto"/>
        <w:rPr>
          <w:rFonts w:asciiTheme="majorHAnsi" w:hAnsiTheme="majorHAnsi" w:cstheme="majorHAnsi"/>
          <w:color w:val="767171"/>
          <w:lang w:val="de-DE" w:eastAsia="pl-PL"/>
        </w:rPr>
      </w:pPr>
      <w:r w:rsidRPr="00EE128E">
        <w:rPr>
          <w:rFonts w:asciiTheme="majorHAnsi" w:hAnsiTheme="majorHAnsi" w:cstheme="majorHAnsi"/>
          <w:b/>
          <w:bCs/>
          <w:color w:val="EA1639"/>
          <w:lang w:val="de-DE" w:eastAsia="pl-PL"/>
        </w:rPr>
        <w:t>e:</w:t>
      </w:r>
      <w:r w:rsidRPr="00EE128E">
        <w:rPr>
          <w:rFonts w:asciiTheme="majorHAnsi" w:hAnsiTheme="majorHAnsi" w:cstheme="majorHAnsi"/>
          <w:color w:val="EA1639"/>
          <w:lang w:val="de-DE" w:eastAsia="pl-PL"/>
        </w:rPr>
        <w:t xml:space="preserve"> </w:t>
      </w:r>
      <w:hyperlink r:id="rId9" w:history="1">
        <w:r w:rsidRPr="00EE128E">
          <w:rPr>
            <w:rStyle w:val="Hipercze"/>
            <w:rFonts w:asciiTheme="majorHAnsi" w:hAnsiTheme="majorHAnsi" w:cstheme="majorHAnsi"/>
            <w:color w:val="808080"/>
            <w:lang w:val="de-DE" w:eastAsia="pl-PL"/>
          </w:rPr>
          <w:t>agnieszka.smuzewska@zoom-bsc.pl</w:t>
        </w:r>
      </w:hyperlink>
    </w:p>
    <w:sectPr w:rsidR="00F0358D" w:rsidRPr="00EE12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96CA" w14:textId="77777777" w:rsidR="000E006A" w:rsidRDefault="000E006A" w:rsidP="003B56EF">
      <w:pPr>
        <w:spacing w:after="0" w:line="240" w:lineRule="auto"/>
      </w:pPr>
      <w:r>
        <w:separator/>
      </w:r>
    </w:p>
  </w:endnote>
  <w:endnote w:type="continuationSeparator" w:id="0">
    <w:p w14:paraId="06F2635F" w14:textId="77777777" w:rsidR="000E006A" w:rsidRDefault="000E006A" w:rsidP="003B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C9E2" w14:textId="77777777" w:rsidR="000E006A" w:rsidRDefault="000E006A" w:rsidP="003B56EF">
      <w:pPr>
        <w:spacing w:after="0" w:line="240" w:lineRule="auto"/>
      </w:pPr>
      <w:r>
        <w:separator/>
      </w:r>
    </w:p>
  </w:footnote>
  <w:footnote w:type="continuationSeparator" w:id="0">
    <w:p w14:paraId="42E662A9" w14:textId="77777777" w:rsidR="000E006A" w:rsidRDefault="000E006A" w:rsidP="003B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287D" w14:textId="77777777" w:rsidR="003B56EF" w:rsidRPr="00AA17CA" w:rsidRDefault="003B56EF" w:rsidP="003B56EF">
    <w:pPr>
      <w:tabs>
        <w:tab w:val="center" w:pos="4536"/>
        <w:tab w:val="right" w:pos="9072"/>
      </w:tabs>
      <w:spacing w:after="0" w:line="360" w:lineRule="auto"/>
      <w:jc w:val="both"/>
      <w:rPr>
        <w:rFonts w:ascii="Century Gothic" w:eastAsia="Times New Roman" w:hAnsi="Century Gothic" w:cs="Times New Roman"/>
        <w:b/>
        <w:lang w:val="cs-CZ" w:eastAsia="cs-CZ"/>
      </w:rPr>
    </w:pPr>
    <w:r w:rsidRPr="00AA17CA">
      <w:rPr>
        <w:rFonts w:ascii="Century Gothic" w:eastAsia="Times New Roman" w:hAnsi="Century Gothic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A0BB3" wp14:editId="07DF95FE">
          <wp:simplePos x="0" y="0"/>
          <wp:positionH relativeFrom="column">
            <wp:posOffset>4021455</wp:posOffset>
          </wp:positionH>
          <wp:positionV relativeFrom="paragraph">
            <wp:posOffset>-76200</wp:posOffset>
          </wp:positionV>
          <wp:extent cx="1689100" cy="541020"/>
          <wp:effectExtent l="0" t="0" r="6350" b="0"/>
          <wp:wrapSquare wrapText="bothSides"/>
          <wp:docPr id="5" name="Obraz 5" descr="G:\Akcenta\8_Reklama\Materiały graficzne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Akcenta\8_Reklama\Materiały graficzne\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7CA">
      <w:rPr>
        <w:rFonts w:ascii="Century Gothic" w:eastAsia="Times New Roman" w:hAnsi="Century Gothic" w:cs="Times New Roman"/>
        <w:b/>
        <w:lang w:val="cs-CZ" w:eastAsia="cs-CZ"/>
      </w:rPr>
      <w:t xml:space="preserve">Informacja prasowa  </w:t>
    </w:r>
  </w:p>
  <w:p w14:paraId="6B70378D" w14:textId="69E144DF" w:rsidR="003B56EF" w:rsidRPr="00AA17CA" w:rsidRDefault="003B56EF" w:rsidP="003B56EF">
    <w:pPr>
      <w:tabs>
        <w:tab w:val="right" w:pos="9072"/>
      </w:tabs>
      <w:spacing w:after="0" w:line="360" w:lineRule="auto"/>
      <w:jc w:val="both"/>
      <w:rPr>
        <w:rFonts w:ascii="Century Gothic" w:eastAsia="Times New Roman" w:hAnsi="Century Gothic" w:cs="Times New Roman"/>
        <w:lang w:val="cs-CZ" w:eastAsia="cs-CZ"/>
      </w:rPr>
    </w:pPr>
    <w:r w:rsidRPr="00AA17CA">
      <w:rPr>
        <w:rFonts w:ascii="Century Gothic" w:eastAsia="Times New Roman" w:hAnsi="Century Gothic" w:cs="Times New Roman"/>
        <w:lang w:val="cs-CZ" w:eastAsia="cs-CZ"/>
      </w:rPr>
      <w:t xml:space="preserve">Warszawa, </w:t>
    </w:r>
    <w:r w:rsidR="00147CF1">
      <w:rPr>
        <w:rFonts w:ascii="Century Gothic" w:eastAsia="Times New Roman" w:hAnsi="Century Gothic" w:cs="Times New Roman"/>
        <w:lang w:val="cs-CZ" w:eastAsia="cs-CZ"/>
      </w:rPr>
      <w:t>16 sierpnia</w:t>
    </w:r>
    <w:r w:rsidR="00BF0F8B">
      <w:rPr>
        <w:rFonts w:ascii="Century Gothic" w:eastAsia="Times New Roman" w:hAnsi="Century Gothic" w:cs="Times New Roman"/>
        <w:lang w:val="cs-CZ" w:eastAsia="cs-CZ"/>
      </w:rPr>
      <w:t xml:space="preserve"> 2021</w:t>
    </w:r>
    <w:r w:rsidRPr="00AA17CA">
      <w:rPr>
        <w:rFonts w:ascii="Century Gothic" w:eastAsia="Times New Roman" w:hAnsi="Century Gothic" w:cs="Times New Roman"/>
        <w:lang w:val="cs-CZ" w:eastAsia="cs-CZ"/>
      </w:rPr>
      <w:t xml:space="preserve"> r. </w:t>
    </w:r>
    <w:r w:rsidRPr="00AA17CA">
      <w:rPr>
        <w:rFonts w:ascii="Century Gothic" w:eastAsia="Times New Roman" w:hAnsi="Century Gothic" w:cs="Times New Roman"/>
        <w:lang w:val="cs-CZ" w:eastAsia="cs-CZ"/>
      </w:rPr>
      <w:tab/>
    </w:r>
  </w:p>
  <w:p w14:paraId="4B0FFB88" w14:textId="77777777" w:rsidR="003B56EF" w:rsidRPr="00AA17CA" w:rsidRDefault="003B56EF" w:rsidP="003B56E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 Unicode MS"/>
        <w:sz w:val="24"/>
        <w:szCs w:val="24"/>
        <w:lang w:val="cs-CZ" w:eastAsia="ko-KR"/>
      </w:rPr>
    </w:pPr>
  </w:p>
  <w:p w14:paraId="3F316C0B" w14:textId="77777777" w:rsidR="003B56EF" w:rsidRDefault="003B5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b/>
        <w:color w:val="0D0D0D"/>
        <w:sz w:val="20"/>
        <w:szCs w:val="22"/>
        <w:lang w:val="pl-PL"/>
      </w:rPr>
    </w:lvl>
  </w:abstractNum>
  <w:abstractNum w:abstractNumId="1" w15:restartNumberingAfterBreak="0">
    <w:nsid w:val="2BD419D8"/>
    <w:multiLevelType w:val="hybridMultilevel"/>
    <w:tmpl w:val="5482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3C0D"/>
    <w:multiLevelType w:val="hybridMultilevel"/>
    <w:tmpl w:val="615E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F"/>
    <w:rsid w:val="0000120D"/>
    <w:rsid w:val="00005E2A"/>
    <w:rsid w:val="0001181C"/>
    <w:rsid w:val="0001258C"/>
    <w:rsid w:val="0001468D"/>
    <w:rsid w:val="00017F02"/>
    <w:rsid w:val="00043D3C"/>
    <w:rsid w:val="00051E6B"/>
    <w:rsid w:val="00056630"/>
    <w:rsid w:val="00063678"/>
    <w:rsid w:val="00063835"/>
    <w:rsid w:val="00077D49"/>
    <w:rsid w:val="00082D19"/>
    <w:rsid w:val="00084105"/>
    <w:rsid w:val="000920FB"/>
    <w:rsid w:val="00094934"/>
    <w:rsid w:val="000A0C89"/>
    <w:rsid w:val="000C004E"/>
    <w:rsid w:val="000C5F3F"/>
    <w:rsid w:val="000C5FAE"/>
    <w:rsid w:val="000E006A"/>
    <w:rsid w:val="000F15C6"/>
    <w:rsid w:val="000F2CD8"/>
    <w:rsid w:val="00110D2E"/>
    <w:rsid w:val="00114713"/>
    <w:rsid w:val="0011776E"/>
    <w:rsid w:val="001200AF"/>
    <w:rsid w:val="001226E9"/>
    <w:rsid w:val="00143027"/>
    <w:rsid w:val="00145A3E"/>
    <w:rsid w:val="00147340"/>
    <w:rsid w:val="00147CF1"/>
    <w:rsid w:val="0015589D"/>
    <w:rsid w:val="001573DC"/>
    <w:rsid w:val="0016297C"/>
    <w:rsid w:val="00165BC5"/>
    <w:rsid w:val="001A6646"/>
    <w:rsid w:val="001A7E9B"/>
    <w:rsid w:val="001F6E6F"/>
    <w:rsid w:val="00212A6C"/>
    <w:rsid w:val="00235E9F"/>
    <w:rsid w:val="0024451D"/>
    <w:rsid w:val="00246ED9"/>
    <w:rsid w:val="00265C37"/>
    <w:rsid w:val="002850F7"/>
    <w:rsid w:val="00286D72"/>
    <w:rsid w:val="002A0319"/>
    <w:rsid w:val="002A04C7"/>
    <w:rsid w:val="002A272F"/>
    <w:rsid w:val="002A5FE5"/>
    <w:rsid w:val="002B14F7"/>
    <w:rsid w:val="002C2AE4"/>
    <w:rsid w:val="002C346E"/>
    <w:rsid w:val="002C7F29"/>
    <w:rsid w:val="002D0E0B"/>
    <w:rsid w:val="002D3F85"/>
    <w:rsid w:val="002E0F01"/>
    <w:rsid w:val="002F1954"/>
    <w:rsid w:val="002F4136"/>
    <w:rsid w:val="002F4548"/>
    <w:rsid w:val="003218BE"/>
    <w:rsid w:val="00342305"/>
    <w:rsid w:val="00343CBA"/>
    <w:rsid w:val="00344FCC"/>
    <w:rsid w:val="00345B62"/>
    <w:rsid w:val="00356A0E"/>
    <w:rsid w:val="00357887"/>
    <w:rsid w:val="00360D19"/>
    <w:rsid w:val="00364B59"/>
    <w:rsid w:val="00374139"/>
    <w:rsid w:val="00394317"/>
    <w:rsid w:val="0039607B"/>
    <w:rsid w:val="00397E13"/>
    <w:rsid w:val="003A00C7"/>
    <w:rsid w:val="003B22D1"/>
    <w:rsid w:val="003B56C0"/>
    <w:rsid w:val="003B56EF"/>
    <w:rsid w:val="003C7632"/>
    <w:rsid w:val="003C7EA9"/>
    <w:rsid w:val="003D5A8B"/>
    <w:rsid w:val="003D7F66"/>
    <w:rsid w:val="004025D0"/>
    <w:rsid w:val="00416E11"/>
    <w:rsid w:val="00432D61"/>
    <w:rsid w:val="00434D66"/>
    <w:rsid w:val="00437132"/>
    <w:rsid w:val="0044278A"/>
    <w:rsid w:val="00452696"/>
    <w:rsid w:val="004609A8"/>
    <w:rsid w:val="00473786"/>
    <w:rsid w:val="00473DF5"/>
    <w:rsid w:val="00475E39"/>
    <w:rsid w:val="0049259C"/>
    <w:rsid w:val="00497331"/>
    <w:rsid w:val="004C02B1"/>
    <w:rsid w:val="004C0E15"/>
    <w:rsid w:val="004C237E"/>
    <w:rsid w:val="004C6317"/>
    <w:rsid w:val="004C674A"/>
    <w:rsid w:val="004C74D2"/>
    <w:rsid w:val="004D3EE2"/>
    <w:rsid w:val="004E3A3A"/>
    <w:rsid w:val="004F3997"/>
    <w:rsid w:val="00503E70"/>
    <w:rsid w:val="00505AC4"/>
    <w:rsid w:val="005318FE"/>
    <w:rsid w:val="005560BF"/>
    <w:rsid w:val="005673EE"/>
    <w:rsid w:val="00592B8F"/>
    <w:rsid w:val="00595141"/>
    <w:rsid w:val="005A13DD"/>
    <w:rsid w:val="005A2438"/>
    <w:rsid w:val="005C4CBD"/>
    <w:rsid w:val="005D3A9E"/>
    <w:rsid w:val="005D5B73"/>
    <w:rsid w:val="005E528C"/>
    <w:rsid w:val="005F2D67"/>
    <w:rsid w:val="005F6775"/>
    <w:rsid w:val="006119AC"/>
    <w:rsid w:val="0061780C"/>
    <w:rsid w:val="006320C8"/>
    <w:rsid w:val="00633C8A"/>
    <w:rsid w:val="006619BF"/>
    <w:rsid w:val="00684325"/>
    <w:rsid w:val="0069437F"/>
    <w:rsid w:val="00695B17"/>
    <w:rsid w:val="006B29A6"/>
    <w:rsid w:val="006B50DC"/>
    <w:rsid w:val="006D4EB2"/>
    <w:rsid w:val="006E06B6"/>
    <w:rsid w:val="006E296A"/>
    <w:rsid w:val="006E4965"/>
    <w:rsid w:val="006F669E"/>
    <w:rsid w:val="006F6EE8"/>
    <w:rsid w:val="007013F0"/>
    <w:rsid w:val="00711CF2"/>
    <w:rsid w:val="00713A9D"/>
    <w:rsid w:val="007229BB"/>
    <w:rsid w:val="007246CB"/>
    <w:rsid w:val="00725FDB"/>
    <w:rsid w:val="007349DC"/>
    <w:rsid w:val="0073796C"/>
    <w:rsid w:val="007476D9"/>
    <w:rsid w:val="007A7C79"/>
    <w:rsid w:val="007B5C40"/>
    <w:rsid w:val="007C269D"/>
    <w:rsid w:val="007D7A51"/>
    <w:rsid w:val="00814628"/>
    <w:rsid w:val="00822F1E"/>
    <w:rsid w:val="00830242"/>
    <w:rsid w:val="0083045F"/>
    <w:rsid w:val="00831D50"/>
    <w:rsid w:val="0083406E"/>
    <w:rsid w:val="00837329"/>
    <w:rsid w:val="008403E7"/>
    <w:rsid w:val="00843C61"/>
    <w:rsid w:val="0084440A"/>
    <w:rsid w:val="00846BE9"/>
    <w:rsid w:val="008710F4"/>
    <w:rsid w:val="008905B8"/>
    <w:rsid w:val="008A647A"/>
    <w:rsid w:val="008A7F15"/>
    <w:rsid w:val="008C7D87"/>
    <w:rsid w:val="008F0F44"/>
    <w:rsid w:val="0090136F"/>
    <w:rsid w:val="009075E8"/>
    <w:rsid w:val="009149E0"/>
    <w:rsid w:val="00922142"/>
    <w:rsid w:val="0092287D"/>
    <w:rsid w:val="0092570C"/>
    <w:rsid w:val="009336C0"/>
    <w:rsid w:val="00940037"/>
    <w:rsid w:val="009446D1"/>
    <w:rsid w:val="00951A94"/>
    <w:rsid w:val="00952FD3"/>
    <w:rsid w:val="0097410E"/>
    <w:rsid w:val="009819DA"/>
    <w:rsid w:val="009A14E9"/>
    <w:rsid w:val="009B251C"/>
    <w:rsid w:val="009B2D97"/>
    <w:rsid w:val="009C33F0"/>
    <w:rsid w:val="009C642E"/>
    <w:rsid w:val="009D22F0"/>
    <w:rsid w:val="009E05EC"/>
    <w:rsid w:val="009E29F0"/>
    <w:rsid w:val="009F23FC"/>
    <w:rsid w:val="00A01727"/>
    <w:rsid w:val="00A168FF"/>
    <w:rsid w:val="00A2353B"/>
    <w:rsid w:val="00A33DC8"/>
    <w:rsid w:val="00A35373"/>
    <w:rsid w:val="00A37A9D"/>
    <w:rsid w:val="00A4257D"/>
    <w:rsid w:val="00A561D6"/>
    <w:rsid w:val="00A75E33"/>
    <w:rsid w:val="00A90C49"/>
    <w:rsid w:val="00AA41B9"/>
    <w:rsid w:val="00AA4B44"/>
    <w:rsid w:val="00AA4C08"/>
    <w:rsid w:val="00AB0008"/>
    <w:rsid w:val="00AE2E97"/>
    <w:rsid w:val="00AE60AA"/>
    <w:rsid w:val="00AE6BBD"/>
    <w:rsid w:val="00AF0524"/>
    <w:rsid w:val="00AF12D4"/>
    <w:rsid w:val="00B130D7"/>
    <w:rsid w:val="00B14B5E"/>
    <w:rsid w:val="00B262BA"/>
    <w:rsid w:val="00B41CAE"/>
    <w:rsid w:val="00B5681E"/>
    <w:rsid w:val="00B63BE5"/>
    <w:rsid w:val="00B72B3D"/>
    <w:rsid w:val="00B74356"/>
    <w:rsid w:val="00B747A3"/>
    <w:rsid w:val="00B82401"/>
    <w:rsid w:val="00B928D8"/>
    <w:rsid w:val="00BA0FB4"/>
    <w:rsid w:val="00BA1E8B"/>
    <w:rsid w:val="00BA620C"/>
    <w:rsid w:val="00BA7C6A"/>
    <w:rsid w:val="00BD0CA4"/>
    <w:rsid w:val="00BE781A"/>
    <w:rsid w:val="00BF0F8B"/>
    <w:rsid w:val="00C003C1"/>
    <w:rsid w:val="00C303FF"/>
    <w:rsid w:val="00C32E6D"/>
    <w:rsid w:val="00C37220"/>
    <w:rsid w:val="00C4044B"/>
    <w:rsid w:val="00C40E46"/>
    <w:rsid w:val="00C504B7"/>
    <w:rsid w:val="00C61A0A"/>
    <w:rsid w:val="00C76A5D"/>
    <w:rsid w:val="00C8127A"/>
    <w:rsid w:val="00C82004"/>
    <w:rsid w:val="00C87A4C"/>
    <w:rsid w:val="00C93C51"/>
    <w:rsid w:val="00CA387F"/>
    <w:rsid w:val="00CA3A8A"/>
    <w:rsid w:val="00CD07F4"/>
    <w:rsid w:val="00CF74EF"/>
    <w:rsid w:val="00D122F6"/>
    <w:rsid w:val="00D2196C"/>
    <w:rsid w:val="00D36A44"/>
    <w:rsid w:val="00D42C2A"/>
    <w:rsid w:val="00D4686F"/>
    <w:rsid w:val="00D72485"/>
    <w:rsid w:val="00D74360"/>
    <w:rsid w:val="00D83D2D"/>
    <w:rsid w:val="00D86185"/>
    <w:rsid w:val="00D9022F"/>
    <w:rsid w:val="00D917F6"/>
    <w:rsid w:val="00DB323D"/>
    <w:rsid w:val="00DC279A"/>
    <w:rsid w:val="00DE33DC"/>
    <w:rsid w:val="00DE453B"/>
    <w:rsid w:val="00DE52FA"/>
    <w:rsid w:val="00E00DE4"/>
    <w:rsid w:val="00E127BB"/>
    <w:rsid w:val="00E12B23"/>
    <w:rsid w:val="00E15A33"/>
    <w:rsid w:val="00E17503"/>
    <w:rsid w:val="00E2073C"/>
    <w:rsid w:val="00E220BE"/>
    <w:rsid w:val="00E23EC6"/>
    <w:rsid w:val="00E26CB8"/>
    <w:rsid w:val="00E355C0"/>
    <w:rsid w:val="00E35D4A"/>
    <w:rsid w:val="00E43F60"/>
    <w:rsid w:val="00E60022"/>
    <w:rsid w:val="00E671E7"/>
    <w:rsid w:val="00E8068C"/>
    <w:rsid w:val="00E837AD"/>
    <w:rsid w:val="00E91729"/>
    <w:rsid w:val="00E948C0"/>
    <w:rsid w:val="00EC3236"/>
    <w:rsid w:val="00ED4087"/>
    <w:rsid w:val="00EE128E"/>
    <w:rsid w:val="00EE4179"/>
    <w:rsid w:val="00EE7FC9"/>
    <w:rsid w:val="00EF536F"/>
    <w:rsid w:val="00F0358D"/>
    <w:rsid w:val="00F07544"/>
    <w:rsid w:val="00F21408"/>
    <w:rsid w:val="00F3296E"/>
    <w:rsid w:val="00F44755"/>
    <w:rsid w:val="00F70446"/>
    <w:rsid w:val="00F763FD"/>
    <w:rsid w:val="00F838D3"/>
    <w:rsid w:val="00F94C20"/>
    <w:rsid w:val="00FA6100"/>
    <w:rsid w:val="00FB7D59"/>
    <w:rsid w:val="00FC2ADD"/>
    <w:rsid w:val="00FD1D85"/>
    <w:rsid w:val="00FD200E"/>
    <w:rsid w:val="00FE183C"/>
    <w:rsid w:val="00FE25ED"/>
    <w:rsid w:val="00FE2AA3"/>
    <w:rsid w:val="00FE77ED"/>
    <w:rsid w:val="00FF2279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00"/>
  <w15:chartTrackingRefBased/>
  <w15:docId w15:val="{E86198E8-6034-425A-91E6-293960F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EF"/>
  </w:style>
  <w:style w:type="paragraph" w:styleId="Stopka">
    <w:name w:val="footer"/>
    <w:basedOn w:val="Normalny"/>
    <w:link w:val="StopkaZnak"/>
    <w:uiPriority w:val="99"/>
    <w:unhideWhenUsed/>
    <w:rsid w:val="003B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EF"/>
  </w:style>
  <w:style w:type="character" w:styleId="Odwoaniedokomentarza">
    <w:name w:val="annotation reference"/>
    <w:basedOn w:val="Domylnaczcionkaakapitu"/>
    <w:uiPriority w:val="99"/>
    <w:semiHidden/>
    <w:unhideWhenUsed/>
    <w:rsid w:val="0036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B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4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E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7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96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1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n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muzewska@zoom-b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52E6-8DCB-41AC-8CD2-EB0A903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Iwasieczko</dc:creator>
  <cp:keywords/>
  <dc:description/>
  <cp:lastModifiedBy>Agnieszka Smużewska</cp:lastModifiedBy>
  <cp:revision>3</cp:revision>
  <dcterms:created xsi:type="dcterms:W3CDTF">2021-08-16T11:35:00Z</dcterms:created>
  <dcterms:modified xsi:type="dcterms:W3CDTF">2021-08-16T11:48:00Z</dcterms:modified>
</cp:coreProperties>
</file>